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F079BE" w:rsidRPr="006A172B" w:rsidRDefault="002E3B8B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Lei n° 2808</w:t>
      </w:r>
    </w:p>
    <w:p w:rsidR="00F079BE" w:rsidRPr="006A172B" w:rsidRDefault="002E3B8B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 29 de junho</w:t>
      </w:r>
      <w:r w:rsidR="000B10D9" w:rsidRPr="006A172B">
        <w:rPr>
          <w:rFonts w:ascii="Times New Roman" w:hAnsi="Times New Roman" w:cs="Times New Roman"/>
          <w:b/>
          <w:sz w:val="20"/>
          <w:szCs w:val="20"/>
        </w:rPr>
        <w:t xml:space="preserve"> de 2022</w:t>
      </w:r>
    </w:p>
    <w:p w:rsidR="00F079BE" w:rsidRPr="006A172B" w:rsidRDefault="00F079BE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79BE" w:rsidRPr="006A172B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72B">
        <w:rPr>
          <w:rFonts w:ascii="Times New Roman" w:hAnsi="Times New Roman" w:cs="Times New Roman"/>
          <w:sz w:val="20"/>
          <w:szCs w:val="20"/>
        </w:rPr>
        <w:t xml:space="preserve"> “</w:t>
      </w:r>
      <w:r w:rsidRPr="006A172B">
        <w:rPr>
          <w:rFonts w:ascii="Times New Roman" w:hAnsi="Times New Roman" w:cs="Times New Roman"/>
          <w:b/>
          <w:sz w:val="20"/>
          <w:szCs w:val="20"/>
        </w:rPr>
        <w:t>Dispõe sobre autorizar o Pod</w:t>
      </w:r>
      <w:r w:rsidR="000F2E41" w:rsidRPr="006A172B">
        <w:rPr>
          <w:rFonts w:ascii="Times New Roman" w:hAnsi="Times New Roman" w:cs="Times New Roman"/>
          <w:b/>
          <w:sz w:val="20"/>
          <w:szCs w:val="20"/>
        </w:rPr>
        <w:t>er Executivo a celebrar convênio com o Governo do Estado de São Paulo sobre Serviço de Bombeiros e dá outras providências</w:t>
      </w:r>
      <w:r w:rsidRPr="006A172B">
        <w:rPr>
          <w:rFonts w:ascii="Times New Roman" w:hAnsi="Times New Roman" w:cs="Times New Roman"/>
          <w:b/>
          <w:sz w:val="20"/>
          <w:szCs w:val="20"/>
        </w:rPr>
        <w:t>”.</w:t>
      </w:r>
    </w:p>
    <w:p w:rsidR="00F079BE" w:rsidRPr="006A172B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79BE" w:rsidRPr="006A172B" w:rsidRDefault="00F079BE" w:rsidP="00F079BE">
      <w:pPr>
        <w:pStyle w:val="Standard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E41" w:rsidRPr="006A172B" w:rsidRDefault="00C128CE" w:rsidP="000F2E41">
      <w:pPr>
        <w:ind w:firstLine="2693"/>
        <w:jc w:val="both"/>
        <w:rPr>
          <w:sz w:val="20"/>
          <w:szCs w:val="20"/>
        </w:rPr>
      </w:pPr>
      <w:r w:rsidRPr="006A172B">
        <w:rPr>
          <w:b/>
          <w:sz w:val="20"/>
          <w:szCs w:val="20"/>
        </w:rPr>
        <w:t xml:space="preserve">Art. 1 </w:t>
      </w:r>
      <w:r w:rsidRPr="006A172B">
        <w:rPr>
          <w:sz w:val="20"/>
          <w:szCs w:val="20"/>
        </w:rPr>
        <w:t>Fica</w:t>
      </w:r>
      <w:r w:rsidR="000F2E41" w:rsidRPr="006A172B">
        <w:rPr>
          <w:sz w:val="20"/>
          <w:szCs w:val="20"/>
        </w:rPr>
        <w:t xml:space="preserve"> o Poder Executivo autorizado a firmar convênio com o Governo do Estado de São Paulo, nos termos da Lei Estadual nº 684, de 30 de setembro de 1975, do Decreto nº 58.568, de 19 de novembro de 2012 e normativas que   substituí-las, pelo prazo de até 30 (trinta) anos, para execução de serviços de Bombeiros, como s de prevenção e extinção de incêndios, de busca e salvamento, de prevenção de acidentes e socorros diversos e outros que, por su</w:t>
      </w:r>
      <w:r w:rsidR="006A172B" w:rsidRPr="006A172B">
        <w:rPr>
          <w:sz w:val="20"/>
          <w:szCs w:val="20"/>
        </w:rPr>
        <w:t>a</w:t>
      </w:r>
      <w:r w:rsidR="000F2E41" w:rsidRPr="006A172B">
        <w:rPr>
          <w:sz w:val="20"/>
          <w:szCs w:val="20"/>
        </w:rPr>
        <w:t xml:space="preserve"> natureza, insiram-se no âmbito de atuação do Corpo de Bombeiros da Polícia Militar.</w:t>
      </w:r>
    </w:p>
    <w:p w:rsidR="000F2E41" w:rsidRPr="006A172B" w:rsidRDefault="000F2E41" w:rsidP="000F2E41">
      <w:pPr>
        <w:ind w:firstLine="2693"/>
        <w:jc w:val="both"/>
        <w:rPr>
          <w:sz w:val="20"/>
          <w:szCs w:val="20"/>
        </w:rPr>
      </w:pPr>
    </w:p>
    <w:p w:rsidR="000F2E41" w:rsidRPr="006A172B" w:rsidRDefault="000F2E41" w:rsidP="000F2E41">
      <w:pPr>
        <w:ind w:firstLine="2693"/>
        <w:jc w:val="both"/>
        <w:rPr>
          <w:sz w:val="20"/>
          <w:szCs w:val="20"/>
        </w:rPr>
      </w:pPr>
      <w:r w:rsidRPr="006A172B">
        <w:rPr>
          <w:sz w:val="20"/>
          <w:szCs w:val="20"/>
        </w:rPr>
        <w:t>§ 1º Os encargos recíprocos serão estabelecidos de acordo com o que for convencionado entre as partes no convênio que firmarem, ficando o Poder Executivo, de acordo com a disponibilidade orçamentária e financeira, autorizado desde já a:</w:t>
      </w:r>
    </w:p>
    <w:p w:rsidR="000F2E41" w:rsidRDefault="000F2E41" w:rsidP="000F2E41">
      <w:pPr>
        <w:jc w:val="both"/>
        <w:rPr>
          <w:sz w:val="20"/>
          <w:szCs w:val="20"/>
        </w:rPr>
      </w:pPr>
    </w:p>
    <w:p w:rsidR="00C128CE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– </w:t>
      </w:r>
      <w:proofErr w:type="gramStart"/>
      <w:r>
        <w:rPr>
          <w:sz w:val="20"/>
          <w:szCs w:val="20"/>
        </w:rPr>
        <w:t>locar</w:t>
      </w:r>
      <w:proofErr w:type="gramEnd"/>
      <w:r>
        <w:rPr>
          <w:sz w:val="20"/>
          <w:szCs w:val="20"/>
        </w:rPr>
        <w:t>, ceder, construir ou adaptar imóveis e/ou linhas telefônicas e pagar respectivos custos;</w:t>
      </w:r>
    </w:p>
    <w:p w:rsidR="000F2E41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 – </w:t>
      </w:r>
      <w:proofErr w:type="gramStart"/>
      <w:r>
        <w:rPr>
          <w:sz w:val="20"/>
          <w:szCs w:val="20"/>
        </w:rPr>
        <w:t>permitir</w:t>
      </w:r>
      <w:proofErr w:type="gramEnd"/>
      <w:r>
        <w:rPr>
          <w:sz w:val="20"/>
          <w:szCs w:val="20"/>
        </w:rPr>
        <w:t xml:space="preserve"> o uso de bens imóveis pertencentes ao Município;</w:t>
      </w:r>
    </w:p>
    <w:p w:rsidR="000F2E41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>III – ceder quotas mensais de combustível, lubrificantes e demais materiais do gênero para a regular utilização e manutenção das viaturas e equipamentos para o desenvolvimento das atividades previstas no termo de ajuste;</w:t>
      </w:r>
    </w:p>
    <w:p w:rsidR="000F2E41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IV – </w:t>
      </w:r>
      <w:proofErr w:type="gramStart"/>
      <w:r>
        <w:rPr>
          <w:sz w:val="20"/>
          <w:szCs w:val="20"/>
        </w:rPr>
        <w:t>ceder</w:t>
      </w:r>
      <w:proofErr w:type="gramEnd"/>
      <w:r>
        <w:rPr>
          <w:sz w:val="20"/>
          <w:szCs w:val="20"/>
        </w:rPr>
        <w:t xml:space="preserve"> o uso de bens móveis e equipamentos;</w:t>
      </w:r>
    </w:p>
    <w:p w:rsidR="000F2E41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– </w:t>
      </w:r>
      <w:proofErr w:type="gramStart"/>
      <w:r>
        <w:rPr>
          <w:sz w:val="20"/>
          <w:szCs w:val="20"/>
        </w:rPr>
        <w:t>prover</w:t>
      </w:r>
      <w:proofErr w:type="gramEnd"/>
      <w:r>
        <w:rPr>
          <w:sz w:val="20"/>
          <w:szCs w:val="20"/>
        </w:rPr>
        <w:t xml:space="preserve"> materiais de consumo (escritório, limpeza);</w:t>
      </w:r>
    </w:p>
    <w:p w:rsidR="000F2E41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 – </w:t>
      </w:r>
      <w:proofErr w:type="gramStart"/>
      <w:r>
        <w:rPr>
          <w:sz w:val="20"/>
          <w:szCs w:val="20"/>
        </w:rPr>
        <w:t>ceder</w:t>
      </w:r>
      <w:proofErr w:type="gramEnd"/>
      <w:r>
        <w:rPr>
          <w:sz w:val="20"/>
          <w:szCs w:val="20"/>
        </w:rPr>
        <w:t xml:space="preserve"> funcionários e servidores públicos municipais, com ou sem prejuízo de seus vencimentos e salários;</w:t>
      </w:r>
    </w:p>
    <w:p w:rsidR="000F2E41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>VII – executar serviços de manutenção das instalações, equipamentos e viaturas;</w:t>
      </w:r>
    </w:p>
    <w:p w:rsidR="000F2E41" w:rsidRDefault="000F2E41" w:rsidP="000F2E41">
      <w:pPr>
        <w:jc w:val="both"/>
        <w:rPr>
          <w:sz w:val="20"/>
          <w:szCs w:val="20"/>
        </w:rPr>
      </w:pPr>
      <w:r>
        <w:rPr>
          <w:sz w:val="20"/>
          <w:szCs w:val="20"/>
        </w:rPr>
        <w:t>VIII – outros estabelecidos em convênio.</w:t>
      </w:r>
    </w:p>
    <w:p w:rsidR="000F2E41" w:rsidRDefault="000F2E41" w:rsidP="000F2E41">
      <w:pPr>
        <w:jc w:val="both"/>
        <w:rPr>
          <w:rFonts w:eastAsia="Calibri"/>
          <w:sz w:val="22"/>
          <w:szCs w:val="22"/>
          <w:lang w:eastAsia="en-US"/>
        </w:rPr>
      </w:pPr>
    </w:p>
    <w:p w:rsidR="00763713" w:rsidRPr="006A172B" w:rsidRDefault="00353410" w:rsidP="00763713">
      <w:pPr>
        <w:ind w:firstLine="2694"/>
        <w:jc w:val="both"/>
        <w:rPr>
          <w:sz w:val="20"/>
          <w:szCs w:val="20"/>
        </w:rPr>
      </w:pPr>
      <w:r w:rsidRPr="006A172B">
        <w:rPr>
          <w:b/>
          <w:color w:val="000000"/>
          <w:sz w:val="20"/>
          <w:szCs w:val="20"/>
        </w:rPr>
        <w:t>§</w:t>
      </w:r>
      <w:r w:rsidR="00C128CE" w:rsidRPr="006A172B">
        <w:rPr>
          <w:b/>
          <w:color w:val="000000"/>
          <w:sz w:val="20"/>
          <w:szCs w:val="20"/>
        </w:rPr>
        <w:t xml:space="preserve"> 2º </w:t>
      </w:r>
      <w:r w:rsidRPr="006A172B">
        <w:rPr>
          <w:sz w:val="20"/>
          <w:szCs w:val="20"/>
        </w:rPr>
        <w:t>Fica o Prefeito Municipal autorizado a assinar o convênio com as cláusulas e condições necessárias ao efetivo cumprimento da instalação do Corpo de Bombeiros no Município.</w:t>
      </w:r>
    </w:p>
    <w:p w:rsidR="00353410" w:rsidRPr="006A172B" w:rsidRDefault="00353410" w:rsidP="00763713">
      <w:pPr>
        <w:ind w:firstLine="2694"/>
        <w:jc w:val="both"/>
        <w:rPr>
          <w:sz w:val="20"/>
          <w:szCs w:val="20"/>
        </w:rPr>
      </w:pPr>
    </w:p>
    <w:p w:rsidR="00353410" w:rsidRPr="006A172B" w:rsidRDefault="00353410" w:rsidP="00763713">
      <w:pPr>
        <w:ind w:firstLine="2694"/>
        <w:jc w:val="both"/>
        <w:rPr>
          <w:sz w:val="20"/>
          <w:szCs w:val="20"/>
        </w:rPr>
      </w:pPr>
      <w:r w:rsidRPr="006A172B">
        <w:rPr>
          <w:b/>
          <w:sz w:val="20"/>
          <w:szCs w:val="20"/>
        </w:rPr>
        <w:t xml:space="preserve">Art. 2º </w:t>
      </w:r>
      <w:r w:rsidRPr="006A172B">
        <w:rPr>
          <w:sz w:val="20"/>
          <w:szCs w:val="20"/>
        </w:rPr>
        <w:t>O Município obriga-se a autorizar o órgão competente do Corpo de Bombeiros da Polícia Militar a pronunciar-se nos processos referentes à aprovação de projetos e concessão de alvarás para a construção, reforma ou construção de imóveis, os quais, excetuando-se os que destinarem a residências unifamiliares, somente serão aprovados ou expedidos se verificada, pelo mesmo órgão, a fiel observância das técnicas de prevenção e segurança contra incêndio.</w:t>
      </w:r>
    </w:p>
    <w:p w:rsidR="00353410" w:rsidRPr="006A172B" w:rsidRDefault="00353410" w:rsidP="00763713">
      <w:pPr>
        <w:ind w:firstLine="2694"/>
        <w:jc w:val="both"/>
        <w:rPr>
          <w:sz w:val="20"/>
          <w:szCs w:val="20"/>
        </w:rPr>
      </w:pPr>
    </w:p>
    <w:p w:rsidR="00353410" w:rsidRPr="006A172B" w:rsidRDefault="00353410" w:rsidP="00763713">
      <w:pPr>
        <w:ind w:firstLine="2694"/>
        <w:jc w:val="both"/>
        <w:rPr>
          <w:sz w:val="20"/>
          <w:szCs w:val="20"/>
        </w:rPr>
      </w:pPr>
      <w:r w:rsidRPr="006A172B">
        <w:rPr>
          <w:b/>
          <w:sz w:val="20"/>
          <w:szCs w:val="20"/>
        </w:rPr>
        <w:t xml:space="preserve">Parágrafo Único </w:t>
      </w:r>
      <w:r w:rsidRPr="006A172B">
        <w:rPr>
          <w:sz w:val="20"/>
          <w:szCs w:val="20"/>
        </w:rPr>
        <w:t>A autorização de que trata este artigo é extensiva à vistoria para a concessão de alvará de “habite-se” e de funcionamento, bem como a verificação da efetiva observância da legislação vigente.</w:t>
      </w:r>
    </w:p>
    <w:p w:rsidR="00353410" w:rsidRPr="006A172B" w:rsidRDefault="00353410" w:rsidP="00763713">
      <w:pPr>
        <w:ind w:firstLine="2694"/>
        <w:jc w:val="both"/>
        <w:rPr>
          <w:sz w:val="20"/>
          <w:szCs w:val="20"/>
        </w:rPr>
      </w:pPr>
    </w:p>
    <w:p w:rsidR="00353410" w:rsidRPr="006A172B" w:rsidRDefault="00353410" w:rsidP="00763713">
      <w:pPr>
        <w:ind w:firstLine="2694"/>
        <w:jc w:val="both"/>
        <w:rPr>
          <w:sz w:val="20"/>
          <w:szCs w:val="20"/>
        </w:rPr>
      </w:pPr>
      <w:r w:rsidRPr="006A172B">
        <w:rPr>
          <w:b/>
          <w:sz w:val="20"/>
          <w:szCs w:val="20"/>
        </w:rPr>
        <w:t xml:space="preserve">Art. 3º </w:t>
      </w:r>
      <w:r w:rsidR="00DE111A" w:rsidRPr="006A172B">
        <w:rPr>
          <w:sz w:val="20"/>
          <w:szCs w:val="20"/>
        </w:rPr>
        <w:t>Os recursos necessários ao atendimento do convênio, reajustados anualmente, serão consignados no orçamento do Município, de acordo com as necessidades.</w:t>
      </w:r>
    </w:p>
    <w:p w:rsidR="00DE111A" w:rsidRPr="006A172B" w:rsidRDefault="00DE111A" w:rsidP="00763713">
      <w:pPr>
        <w:ind w:firstLine="2694"/>
        <w:jc w:val="both"/>
        <w:rPr>
          <w:sz w:val="20"/>
          <w:szCs w:val="20"/>
        </w:rPr>
      </w:pPr>
    </w:p>
    <w:p w:rsidR="00DE111A" w:rsidRPr="006A172B" w:rsidRDefault="00DE111A" w:rsidP="00763713">
      <w:pPr>
        <w:ind w:firstLine="2694"/>
        <w:jc w:val="both"/>
        <w:rPr>
          <w:sz w:val="20"/>
          <w:szCs w:val="20"/>
        </w:rPr>
      </w:pPr>
      <w:r w:rsidRPr="006A172B">
        <w:rPr>
          <w:b/>
          <w:sz w:val="20"/>
          <w:szCs w:val="20"/>
        </w:rPr>
        <w:t xml:space="preserve">Art. 4º </w:t>
      </w:r>
      <w:r w:rsidRPr="006A172B">
        <w:rPr>
          <w:sz w:val="20"/>
          <w:szCs w:val="20"/>
        </w:rPr>
        <w:t>O serviço do Bombeiro local, se e quando implantado, ficará integrado ao Sistema Estadual administrado pelo Comando do Corpo de Bombeiros da Polícia Militar do Estado de São Paulo.</w:t>
      </w:r>
    </w:p>
    <w:p w:rsidR="00DE111A" w:rsidRDefault="00DE111A" w:rsidP="00DE111A">
      <w:pPr>
        <w:jc w:val="both"/>
      </w:pPr>
    </w:p>
    <w:p w:rsidR="00DE111A" w:rsidRDefault="00DE111A" w:rsidP="00DE111A">
      <w:pPr>
        <w:jc w:val="both"/>
      </w:pPr>
    </w:p>
    <w:p w:rsidR="00DE111A" w:rsidRPr="006A172B" w:rsidRDefault="00DE111A" w:rsidP="00DE111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A172B">
        <w:rPr>
          <w:b/>
          <w:sz w:val="20"/>
          <w:szCs w:val="20"/>
        </w:rPr>
        <w:t xml:space="preserve">Art. 5º </w:t>
      </w:r>
      <w:r w:rsidRPr="006A172B">
        <w:rPr>
          <w:sz w:val="20"/>
          <w:szCs w:val="20"/>
        </w:rPr>
        <w:t xml:space="preserve">O Município poderá contratar </w:t>
      </w:r>
      <w:r w:rsidR="00955995" w:rsidRPr="006A172B">
        <w:rPr>
          <w:sz w:val="20"/>
          <w:szCs w:val="20"/>
        </w:rPr>
        <w:t>Bombeiros Municipais ou ceder servidores efetivos para cooperar com os serviços de Bombeiros do Corpo de Bombeiros da Polícia Militar do Estado de São Paulo, bem como os autoriza expressamente a realizar atendimentos fora dos limites jurisdicionais do Município.</w:t>
      </w:r>
    </w:p>
    <w:p w:rsidR="00EF3E8A" w:rsidRPr="006A172B" w:rsidRDefault="00EF3E8A" w:rsidP="00DE111A">
      <w:pPr>
        <w:jc w:val="both"/>
        <w:rPr>
          <w:sz w:val="20"/>
          <w:szCs w:val="20"/>
        </w:rPr>
      </w:pPr>
    </w:p>
    <w:p w:rsidR="00EF3E8A" w:rsidRPr="006A172B" w:rsidRDefault="00EF3E8A" w:rsidP="00DE111A">
      <w:pPr>
        <w:jc w:val="both"/>
        <w:rPr>
          <w:sz w:val="20"/>
          <w:szCs w:val="20"/>
        </w:rPr>
      </w:pPr>
      <w:r w:rsidRPr="006A172B">
        <w:rPr>
          <w:sz w:val="20"/>
          <w:szCs w:val="20"/>
        </w:rPr>
        <w:lastRenderedPageBreak/>
        <w:tab/>
      </w: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b/>
          <w:sz w:val="20"/>
          <w:szCs w:val="20"/>
        </w:rPr>
        <w:t xml:space="preserve">Art. 6º </w:t>
      </w:r>
      <w:r w:rsidRPr="006A172B">
        <w:rPr>
          <w:sz w:val="20"/>
          <w:szCs w:val="20"/>
        </w:rPr>
        <w:t>Os recursos gerados no cumprimento do convênio serão depositados em conta bancária deste Município denominada PREFEITURA/CONVÊNIO CORPO DE BOMBEIROS MILITAR e aplicados exclusivamente no investimento em segurança contra incêndios e outros sinistros, como aquisição de viaturas, equipamentos, instalações físicas e despesas de custeio das atividades de bombeiro militar.</w:t>
      </w:r>
    </w:p>
    <w:p w:rsidR="00EF3E8A" w:rsidRPr="006A172B" w:rsidRDefault="00EF3E8A" w:rsidP="00DE111A">
      <w:pPr>
        <w:jc w:val="both"/>
        <w:rPr>
          <w:sz w:val="20"/>
          <w:szCs w:val="20"/>
        </w:rPr>
      </w:pPr>
    </w:p>
    <w:p w:rsidR="00EF3E8A" w:rsidRPr="006A172B" w:rsidRDefault="00EF3E8A" w:rsidP="00DE111A">
      <w:pPr>
        <w:jc w:val="both"/>
        <w:rPr>
          <w:sz w:val="20"/>
          <w:szCs w:val="20"/>
        </w:rPr>
      </w:pP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b/>
          <w:sz w:val="20"/>
          <w:szCs w:val="20"/>
        </w:rPr>
        <w:t xml:space="preserve">Parágrafo Único </w:t>
      </w:r>
      <w:r w:rsidRPr="006A172B">
        <w:rPr>
          <w:sz w:val="20"/>
          <w:szCs w:val="20"/>
        </w:rPr>
        <w:t>A conta a que se refere o caput não impede a criação do Fundo Especial de Bombeiros.</w:t>
      </w:r>
    </w:p>
    <w:p w:rsidR="00EF3E8A" w:rsidRPr="006A172B" w:rsidRDefault="00EF3E8A" w:rsidP="00DE111A">
      <w:pPr>
        <w:jc w:val="both"/>
        <w:rPr>
          <w:sz w:val="20"/>
          <w:szCs w:val="20"/>
        </w:rPr>
      </w:pPr>
    </w:p>
    <w:p w:rsidR="00EF3E8A" w:rsidRPr="006A172B" w:rsidRDefault="00EF3E8A" w:rsidP="00DE111A">
      <w:pPr>
        <w:jc w:val="both"/>
        <w:rPr>
          <w:sz w:val="20"/>
          <w:szCs w:val="20"/>
        </w:rPr>
      </w:pP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sz w:val="20"/>
          <w:szCs w:val="20"/>
        </w:rPr>
        <w:tab/>
      </w:r>
      <w:r w:rsidRPr="006A172B">
        <w:rPr>
          <w:b/>
          <w:sz w:val="20"/>
          <w:szCs w:val="20"/>
        </w:rPr>
        <w:t xml:space="preserve">Art. 7º </w:t>
      </w:r>
      <w:r w:rsidRPr="006A172B">
        <w:rPr>
          <w:sz w:val="20"/>
          <w:szCs w:val="20"/>
        </w:rPr>
        <w:t>As despesas necessárias à execução dessa lei correrão à conta das dotações consignadas no orçamento do Município, suplementadas, se necessário.</w:t>
      </w: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:rsidR="00F079BE" w:rsidRPr="006A172B" w:rsidRDefault="00C128CE" w:rsidP="00EF3E8A">
      <w:pPr>
        <w:pStyle w:val="Standard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6A172B">
        <w:rPr>
          <w:rFonts w:ascii="Times New Roman" w:hAnsi="Times New Roman" w:cs="Times New Roman"/>
          <w:b/>
          <w:sz w:val="20"/>
          <w:szCs w:val="20"/>
        </w:rPr>
        <w:t xml:space="preserve">Art. </w:t>
      </w:r>
      <w:r w:rsidR="00EF3E8A" w:rsidRPr="006A172B">
        <w:rPr>
          <w:rFonts w:ascii="Times New Roman" w:hAnsi="Times New Roman" w:cs="Times New Roman"/>
          <w:b/>
          <w:sz w:val="20"/>
          <w:szCs w:val="20"/>
        </w:rPr>
        <w:t>8</w:t>
      </w:r>
      <w:r w:rsidRPr="006A172B">
        <w:rPr>
          <w:rFonts w:ascii="Times New Roman" w:hAnsi="Times New Roman" w:cs="Times New Roman"/>
          <w:b/>
          <w:sz w:val="20"/>
          <w:szCs w:val="20"/>
        </w:rPr>
        <w:t>°</w:t>
      </w:r>
      <w:r w:rsidR="00F079BE" w:rsidRPr="006A1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79BE" w:rsidRPr="006A172B">
        <w:rPr>
          <w:rFonts w:ascii="Times New Roman" w:hAnsi="Times New Roman" w:cs="Times New Roman"/>
          <w:sz w:val="20"/>
          <w:szCs w:val="20"/>
        </w:rPr>
        <w:t>Esta Lei entrará em vigor na data de sua publicação, revogando as disposições em contrário.</w:t>
      </w:r>
    </w:p>
    <w:p w:rsidR="00F079BE" w:rsidRPr="006A172B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:rsidR="00F079BE" w:rsidRPr="006A172B" w:rsidRDefault="00F079BE" w:rsidP="00F079BE">
      <w:pPr>
        <w:pStyle w:val="Standard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:rsidR="00F079BE" w:rsidRPr="006A172B" w:rsidRDefault="00F079BE" w:rsidP="00F079B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A172B">
        <w:rPr>
          <w:rFonts w:ascii="Times New Roman" w:hAnsi="Times New Roman" w:cs="Times New Roman"/>
          <w:sz w:val="20"/>
          <w:szCs w:val="20"/>
        </w:rPr>
        <w:t>Prefeitura Municipal de Ri</w:t>
      </w:r>
      <w:r w:rsidR="002E3B8B">
        <w:rPr>
          <w:rFonts w:ascii="Times New Roman" w:hAnsi="Times New Roman" w:cs="Times New Roman"/>
          <w:sz w:val="20"/>
          <w:szCs w:val="20"/>
        </w:rPr>
        <w:t>beirão Bonito, aos 29 de junho</w:t>
      </w:r>
      <w:r w:rsidR="000B10D9" w:rsidRPr="006A172B">
        <w:rPr>
          <w:rFonts w:ascii="Times New Roman" w:hAnsi="Times New Roman" w:cs="Times New Roman"/>
          <w:sz w:val="20"/>
          <w:szCs w:val="20"/>
        </w:rPr>
        <w:t xml:space="preserve"> de 2022.</w:t>
      </w:r>
    </w:p>
    <w:p w:rsidR="00F079BE" w:rsidRPr="006A172B" w:rsidRDefault="00F079BE" w:rsidP="00F079B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079BE" w:rsidRPr="006A172B" w:rsidRDefault="00F079BE" w:rsidP="00F079BE">
      <w:pPr>
        <w:pStyle w:val="Standard"/>
        <w:ind w:left="35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79BE" w:rsidRPr="006A172B" w:rsidRDefault="00F079BE" w:rsidP="00F079B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079BE" w:rsidRPr="006A172B" w:rsidRDefault="00F079BE" w:rsidP="00F079B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079BE" w:rsidRPr="006A172B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6A172B">
        <w:rPr>
          <w:rFonts w:ascii="Times New Roman" w:hAnsi="Times New Roman" w:cs="Times New Roman"/>
          <w:b/>
          <w:bCs/>
          <w:sz w:val="20"/>
          <w:szCs w:val="20"/>
        </w:rPr>
        <w:t>ANTONIO CARLOS CAREGARO</w:t>
      </w:r>
    </w:p>
    <w:p w:rsidR="00F079BE" w:rsidRPr="006A172B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72B">
        <w:rPr>
          <w:rFonts w:ascii="Times New Roman" w:hAnsi="Times New Roman" w:cs="Times New Roman"/>
          <w:b/>
          <w:sz w:val="20"/>
          <w:szCs w:val="20"/>
        </w:rPr>
        <w:t>Prefeito Municipal</w:t>
      </w:r>
    </w:p>
    <w:p w:rsidR="00F079BE" w:rsidRDefault="00F079BE" w:rsidP="00F079BE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F079BE" w:rsidRDefault="00F079BE" w:rsidP="00F079BE"/>
    <w:p w:rsidR="00AE35C3" w:rsidRDefault="00AE35C3" w:rsidP="00F079BE">
      <w:pPr>
        <w:jc w:val="center"/>
        <w:rPr>
          <w:b/>
        </w:rPr>
      </w:pPr>
    </w:p>
    <w:p w:rsidR="000B10D9" w:rsidRDefault="000B10D9" w:rsidP="00F079BE">
      <w:pPr>
        <w:jc w:val="center"/>
        <w:rPr>
          <w:b/>
        </w:rPr>
      </w:pPr>
    </w:p>
    <w:p w:rsidR="00EF3E8A" w:rsidRDefault="00EF3E8A" w:rsidP="00F079BE">
      <w:pPr>
        <w:jc w:val="center"/>
        <w:rPr>
          <w:b/>
        </w:rPr>
      </w:pPr>
    </w:p>
    <w:p w:rsidR="00EF3E8A" w:rsidRDefault="00EF3E8A" w:rsidP="00F079BE">
      <w:pPr>
        <w:jc w:val="center"/>
        <w:rPr>
          <w:b/>
        </w:rPr>
      </w:pPr>
    </w:p>
    <w:p w:rsidR="00EF3E8A" w:rsidRDefault="00EF3E8A" w:rsidP="00F079BE">
      <w:pPr>
        <w:jc w:val="center"/>
        <w:rPr>
          <w:b/>
        </w:rPr>
      </w:pPr>
    </w:p>
    <w:p w:rsidR="00EF3E8A" w:rsidRDefault="00EF3E8A" w:rsidP="00F079BE">
      <w:pPr>
        <w:jc w:val="center"/>
        <w:rPr>
          <w:b/>
        </w:rPr>
      </w:pPr>
    </w:p>
    <w:p w:rsidR="00EF3E8A" w:rsidRDefault="00EF3E8A" w:rsidP="00F079BE">
      <w:pPr>
        <w:jc w:val="center"/>
        <w:rPr>
          <w:b/>
        </w:rPr>
      </w:pPr>
    </w:p>
    <w:p w:rsidR="006A172B" w:rsidRDefault="006A172B" w:rsidP="00F079BE">
      <w:pPr>
        <w:jc w:val="center"/>
        <w:rPr>
          <w:b/>
        </w:rPr>
      </w:pPr>
      <w:bookmarkStart w:id="0" w:name="_GoBack"/>
      <w:bookmarkEnd w:id="0"/>
    </w:p>
    <w:p w:rsidR="006A172B" w:rsidRDefault="006A172B" w:rsidP="00F079BE">
      <w:pPr>
        <w:jc w:val="center"/>
        <w:rPr>
          <w:b/>
        </w:rPr>
      </w:pPr>
    </w:p>
    <w:p w:rsidR="006A172B" w:rsidRDefault="006A172B" w:rsidP="00F079BE">
      <w:pPr>
        <w:jc w:val="center"/>
        <w:rPr>
          <w:b/>
        </w:rPr>
      </w:pPr>
    </w:p>
    <w:p w:rsidR="006A172B" w:rsidRDefault="006A172B" w:rsidP="00F079BE">
      <w:pPr>
        <w:jc w:val="center"/>
        <w:rPr>
          <w:b/>
        </w:rPr>
      </w:pPr>
    </w:p>
    <w:p w:rsidR="006A172B" w:rsidRDefault="006A172B" w:rsidP="00F079BE">
      <w:pPr>
        <w:jc w:val="center"/>
        <w:rPr>
          <w:b/>
        </w:rPr>
      </w:pPr>
    </w:p>
    <w:p w:rsidR="006A172B" w:rsidRDefault="006A172B" w:rsidP="00F079BE">
      <w:pPr>
        <w:jc w:val="center"/>
        <w:rPr>
          <w:b/>
        </w:rPr>
      </w:pPr>
    </w:p>
    <w:sectPr w:rsidR="006A17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49" w:rsidRDefault="008E7249">
      <w:r>
        <w:separator/>
      </w:r>
    </w:p>
  </w:endnote>
  <w:endnote w:type="continuationSeparator" w:id="0">
    <w:p w:rsidR="008E7249" w:rsidRDefault="008E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49" w:rsidRDefault="008E7249">
      <w:r>
        <w:separator/>
      </w:r>
    </w:p>
  </w:footnote>
  <w:footnote w:type="continuationSeparator" w:id="0">
    <w:p w:rsidR="008E7249" w:rsidRDefault="008E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51D76"/>
    <w:rsid w:val="00091BC5"/>
    <w:rsid w:val="000B10D9"/>
    <w:rsid w:val="000E334E"/>
    <w:rsid w:val="000F1CB7"/>
    <w:rsid w:val="000F2E41"/>
    <w:rsid w:val="000F3518"/>
    <w:rsid w:val="00153272"/>
    <w:rsid w:val="001740FB"/>
    <w:rsid w:val="00177305"/>
    <w:rsid w:val="00181988"/>
    <w:rsid w:val="00186EEB"/>
    <w:rsid w:val="001927AF"/>
    <w:rsid w:val="001C75BA"/>
    <w:rsid w:val="001E32D9"/>
    <w:rsid w:val="001E5F5D"/>
    <w:rsid w:val="001E699D"/>
    <w:rsid w:val="00261EEE"/>
    <w:rsid w:val="00280AB1"/>
    <w:rsid w:val="002B76DB"/>
    <w:rsid w:val="002E3B8B"/>
    <w:rsid w:val="002F46F9"/>
    <w:rsid w:val="00301047"/>
    <w:rsid w:val="00353410"/>
    <w:rsid w:val="003675DD"/>
    <w:rsid w:val="003708F4"/>
    <w:rsid w:val="003778FE"/>
    <w:rsid w:val="003961B5"/>
    <w:rsid w:val="003B0267"/>
    <w:rsid w:val="003D00E4"/>
    <w:rsid w:val="003D41E0"/>
    <w:rsid w:val="003D661C"/>
    <w:rsid w:val="003E1763"/>
    <w:rsid w:val="00401AC4"/>
    <w:rsid w:val="004027A0"/>
    <w:rsid w:val="00415F61"/>
    <w:rsid w:val="00432F0B"/>
    <w:rsid w:val="00465B12"/>
    <w:rsid w:val="00472F5A"/>
    <w:rsid w:val="00491E26"/>
    <w:rsid w:val="004C7EE3"/>
    <w:rsid w:val="004E5CCA"/>
    <w:rsid w:val="005100CA"/>
    <w:rsid w:val="00533742"/>
    <w:rsid w:val="005352BF"/>
    <w:rsid w:val="00554BA8"/>
    <w:rsid w:val="005A425F"/>
    <w:rsid w:val="005D3BBD"/>
    <w:rsid w:val="0067710A"/>
    <w:rsid w:val="006A172B"/>
    <w:rsid w:val="006B3D41"/>
    <w:rsid w:val="006B574A"/>
    <w:rsid w:val="006B7CF4"/>
    <w:rsid w:val="00720171"/>
    <w:rsid w:val="00722DC0"/>
    <w:rsid w:val="00732831"/>
    <w:rsid w:val="00736D59"/>
    <w:rsid w:val="0075374F"/>
    <w:rsid w:val="00763713"/>
    <w:rsid w:val="00764A09"/>
    <w:rsid w:val="00767969"/>
    <w:rsid w:val="00795B8A"/>
    <w:rsid w:val="00797178"/>
    <w:rsid w:val="007A2EC4"/>
    <w:rsid w:val="007F2568"/>
    <w:rsid w:val="007F7734"/>
    <w:rsid w:val="007F7EB4"/>
    <w:rsid w:val="00841907"/>
    <w:rsid w:val="00871522"/>
    <w:rsid w:val="00883F43"/>
    <w:rsid w:val="0088596F"/>
    <w:rsid w:val="008A1FF2"/>
    <w:rsid w:val="008B0618"/>
    <w:rsid w:val="008E7249"/>
    <w:rsid w:val="008F7588"/>
    <w:rsid w:val="00927051"/>
    <w:rsid w:val="0094358E"/>
    <w:rsid w:val="009545DA"/>
    <w:rsid w:val="00955995"/>
    <w:rsid w:val="00961BF1"/>
    <w:rsid w:val="0096544A"/>
    <w:rsid w:val="00981C18"/>
    <w:rsid w:val="009874D0"/>
    <w:rsid w:val="00991633"/>
    <w:rsid w:val="00995254"/>
    <w:rsid w:val="009D5440"/>
    <w:rsid w:val="009D741A"/>
    <w:rsid w:val="009E05A9"/>
    <w:rsid w:val="00A10263"/>
    <w:rsid w:val="00A4012A"/>
    <w:rsid w:val="00A41316"/>
    <w:rsid w:val="00A470B3"/>
    <w:rsid w:val="00A51476"/>
    <w:rsid w:val="00A63FCA"/>
    <w:rsid w:val="00A850BD"/>
    <w:rsid w:val="00A879EC"/>
    <w:rsid w:val="00A918F6"/>
    <w:rsid w:val="00AB02FD"/>
    <w:rsid w:val="00AE35C3"/>
    <w:rsid w:val="00AE5366"/>
    <w:rsid w:val="00B42869"/>
    <w:rsid w:val="00B52993"/>
    <w:rsid w:val="00B76852"/>
    <w:rsid w:val="00B9566B"/>
    <w:rsid w:val="00BB7D46"/>
    <w:rsid w:val="00BC1767"/>
    <w:rsid w:val="00BE1D33"/>
    <w:rsid w:val="00C0361A"/>
    <w:rsid w:val="00C128CE"/>
    <w:rsid w:val="00C37163"/>
    <w:rsid w:val="00C8050E"/>
    <w:rsid w:val="00C92258"/>
    <w:rsid w:val="00CA75A5"/>
    <w:rsid w:val="00CD0C3B"/>
    <w:rsid w:val="00CE3AEF"/>
    <w:rsid w:val="00D00397"/>
    <w:rsid w:val="00D33176"/>
    <w:rsid w:val="00D43BA5"/>
    <w:rsid w:val="00D46FC8"/>
    <w:rsid w:val="00D66524"/>
    <w:rsid w:val="00DB1FA9"/>
    <w:rsid w:val="00DB71EC"/>
    <w:rsid w:val="00DC2548"/>
    <w:rsid w:val="00DD4B16"/>
    <w:rsid w:val="00DE111A"/>
    <w:rsid w:val="00DE4C86"/>
    <w:rsid w:val="00DF0115"/>
    <w:rsid w:val="00E30F68"/>
    <w:rsid w:val="00E32F43"/>
    <w:rsid w:val="00E65B45"/>
    <w:rsid w:val="00E7544F"/>
    <w:rsid w:val="00E868F4"/>
    <w:rsid w:val="00E93099"/>
    <w:rsid w:val="00ED23C8"/>
    <w:rsid w:val="00EF3E8A"/>
    <w:rsid w:val="00F079BE"/>
    <w:rsid w:val="00F36CD5"/>
    <w:rsid w:val="00F80CD6"/>
    <w:rsid w:val="00F87DDE"/>
    <w:rsid w:val="00F95552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2022-06-29T13:43:00Z</cp:lastPrinted>
  <dcterms:created xsi:type="dcterms:W3CDTF">2022-06-29T13:45:00Z</dcterms:created>
  <dcterms:modified xsi:type="dcterms:W3CDTF">2022-06-29T13:45:00Z</dcterms:modified>
</cp:coreProperties>
</file>